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Nunito" w:cs="Nunito" w:eastAsia="Nunito" w:hAnsi="Nunito"/>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3795713</wp:posOffset>
            </wp:positionH>
            <wp:positionV relativeFrom="paragraph">
              <wp:posOffset>114300</wp:posOffset>
            </wp:positionV>
            <wp:extent cx="2147888" cy="1189009"/>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13000" l="0" r="0" t="9500"/>
                    <a:stretch>
                      <a:fillRect/>
                    </a:stretch>
                  </pic:blipFill>
                  <pic:spPr>
                    <a:xfrm>
                      <a:off x="0" y="0"/>
                      <a:ext cx="2147888" cy="1189009"/>
                    </a:xfrm>
                    <a:prstGeom prst="rect"/>
                    <a:ln/>
                  </pic:spPr>
                </pic:pic>
              </a:graphicData>
            </a:graphic>
          </wp:anchor>
        </w:drawing>
      </w:r>
    </w:p>
    <w:p w:rsidR="00000000" w:rsidDel="00000000" w:rsidP="00000000" w:rsidRDefault="00000000" w:rsidRPr="00000000" w14:paraId="00000002">
      <w:pPr>
        <w:pageBreakBefore w:val="0"/>
        <w:jc w:val="center"/>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03">
      <w:pPr>
        <w:pageBreakBefore w:val="0"/>
        <w:jc w:val="center"/>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The Nola Speir Patron’s </w:t>
      </w:r>
    </w:p>
    <w:p w:rsidR="00000000" w:rsidDel="00000000" w:rsidP="00000000" w:rsidRDefault="00000000" w:rsidRPr="00000000" w14:paraId="00000004">
      <w:pPr>
        <w:pageBreakBefore w:val="0"/>
        <w:jc w:val="center"/>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NextGen Encouragement Award</w:t>
      </w:r>
    </w:p>
    <w:p w:rsidR="00000000" w:rsidDel="00000000" w:rsidP="00000000" w:rsidRDefault="00000000" w:rsidRPr="00000000" w14:paraId="00000005">
      <w:pPr>
        <w:pageBreakBefore w:val="0"/>
        <w:rPr>
          <w:rFonts w:ascii="Nunito" w:cs="Nunito" w:eastAsia="Nunito" w:hAnsi="Nuni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ageBreakBefore w:val="0"/>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07">
      <w:pPr>
        <w:pageBreakBefore w:val="0"/>
        <w:spacing w:line="276" w:lineRule="auto"/>
        <w:jc w:val="both"/>
        <w:rPr>
          <w:rFonts w:ascii="Nunito" w:cs="Nunito" w:eastAsia="Nunito" w:hAnsi="Nunito"/>
        </w:rPr>
      </w:pPr>
      <w:r w:rsidDel="00000000" w:rsidR="00000000" w:rsidRPr="00000000">
        <w:rPr>
          <w:rFonts w:ascii="Nunito" w:cs="Nunito" w:eastAsia="Nunito" w:hAnsi="Nunito"/>
          <w:rtl w:val="0"/>
        </w:rPr>
        <w:t xml:space="preserve">The Patron’s Youth Encouragement Award was implemented by our late Patron, Nola Speir QSM and renamed at the AGM in 2008 in Timaru to the Nola Speir Patron’s Youth Encouragement award in memory and tribute to Nola. Nola wanted the emphasis to be on “young people” and Donna Philpott has been most supportive of this criteria continuing. The nomination should come from your society’s Executive to the MTNZ office, and this will be forwarded on to the present Patron for consideration and selection. </w:t>
      </w:r>
    </w:p>
    <w:p w:rsidR="00000000" w:rsidDel="00000000" w:rsidP="00000000" w:rsidRDefault="00000000" w:rsidRPr="00000000" w14:paraId="00000008">
      <w:pPr>
        <w:pageBreakBefore w:val="0"/>
        <w:spacing w:line="276" w:lineRule="auto"/>
        <w:jc w:val="both"/>
        <w:rPr>
          <w:rFonts w:ascii="Nunito" w:cs="Nunito" w:eastAsia="Nunito" w:hAnsi="Nunito"/>
        </w:rPr>
      </w:pPr>
      <w:r w:rsidDel="00000000" w:rsidR="00000000" w:rsidRPr="00000000">
        <w:rPr>
          <w:rFonts w:ascii="Nunito" w:cs="Nunito" w:eastAsia="Nunito" w:hAnsi="Nunito"/>
          <w:rtl w:val="0"/>
        </w:rPr>
        <w:t xml:space="preserve">There is one nomination per society, per year. There is no length of service required however, the keywords need to be “attitude” and “commitment”. This award is to recognise younger members of MTNZ societies for their contribution to musical theatre. </w:t>
      </w:r>
    </w:p>
    <w:p w:rsidR="00000000" w:rsidDel="00000000" w:rsidP="00000000" w:rsidRDefault="00000000" w:rsidRPr="00000000" w14:paraId="00000009">
      <w:pPr>
        <w:pageBreakBefore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0A">
      <w:pPr>
        <w:pageBreakBefore w:val="0"/>
        <w:spacing w:line="276" w:lineRule="auto"/>
        <w:jc w:val="both"/>
        <w:rPr>
          <w:rFonts w:ascii="Nunito" w:cs="Nunito" w:eastAsia="Nunito" w:hAnsi="Nunito"/>
          <w:b w:val="1"/>
        </w:rPr>
      </w:pPr>
      <w:r w:rsidDel="00000000" w:rsidR="00000000" w:rsidRPr="00000000">
        <w:rPr>
          <w:rFonts w:ascii="Nunito" w:cs="Nunito" w:eastAsia="Nunito" w:hAnsi="Nunito"/>
          <w:b w:val="1"/>
          <w:rtl w:val="0"/>
        </w:rPr>
        <w:t xml:space="preserve">The criteria are as follows:</w:t>
      </w:r>
    </w:p>
    <w:p w:rsidR="00000000" w:rsidDel="00000000" w:rsidP="00000000" w:rsidRDefault="00000000" w:rsidRPr="00000000" w14:paraId="0000000B">
      <w:pPr>
        <w:pageBreakBefore w:val="0"/>
        <w:spacing w:line="276" w:lineRule="auto"/>
        <w:jc w:val="both"/>
        <w:rPr>
          <w:rFonts w:ascii="Nunito" w:cs="Nunito" w:eastAsia="Nunito" w:hAnsi="Nunito"/>
        </w:rPr>
      </w:pPr>
      <w:r w:rsidDel="00000000" w:rsidR="00000000" w:rsidRPr="00000000">
        <w:rPr>
          <w:rFonts w:ascii="Nunito" w:cs="Nunito" w:eastAsia="Nunito" w:hAnsi="Nunito"/>
          <w:rtl w:val="0"/>
        </w:rPr>
        <w:t xml:space="preserve">One nomination from each society per calendar year. A minuted recommendation from the executive committee of the nominating society that such a nomination be made should be provided; alternatively a letter of intent to nominate signed by the President/Secretary and another committee member. Length of service is not applicable for this award; however, attitude and commitment are the key attributes. </w:t>
      </w:r>
    </w:p>
    <w:p w:rsidR="00000000" w:rsidDel="00000000" w:rsidP="00000000" w:rsidRDefault="00000000" w:rsidRPr="00000000" w14:paraId="0000000C">
      <w:pPr>
        <w:pageBreakBefore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0D">
      <w:pPr>
        <w:pageBreakBefore w:val="0"/>
        <w:spacing w:line="276" w:lineRule="auto"/>
        <w:jc w:val="both"/>
        <w:rPr>
          <w:rFonts w:ascii="Nunito" w:cs="Nunito" w:eastAsia="Nunito" w:hAnsi="Nunito"/>
          <w:b w:val="1"/>
        </w:rPr>
      </w:pPr>
      <w:r w:rsidDel="00000000" w:rsidR="00000000" w:rsidRPr="00000000">
        <w:rPr>
          <w:rFonts w:ascii="Nunito" w:cs="Nunito" w:eastAsia="Nunito" w:hAnsi="Nunito"/>
          <w:b w:val="1"/>
          <w:rtl w:val="0"/>
        </w:rPr>
        <w:t xml:space="preserve">Nomination Process: </w:t>
      </w:r>
    </w:p>
    <w:p w:rsidR="00000000" w:rsidDel="00000000" w:rsidP="00000000" w:rsidRDefault="00000000" w:rsidRPr="00000000" w14:paraId="0000000E">
      <w:pPr>
        <w:pageBreakBefore w:val="0"/>
        <w:spacing w:line="276" w:lineRule="auto"/>
        <w:jc w:val="both"/>
        <w:rPr>
          <w:rFonts w:ascii="Nunito" w:cs="Nunito" w:eastAsia="Nunito" w:hAnsi="Nunito"/>
        </w:rPr>
      </w:pPr>
      <w:r w:rsidDel="00000000" w:rsidR="00000000" w:rsidRPr="00000000">
        <w:rPr>
          <w:rFonts w:ascii="Nunito" w:cs="Nunito" w:eastAsia="Nunito" w:hAnsi="Nunito"/>
          <w:rtl w:val="0"/>
        </w:rPr>
        <w:t xml:space="preserve">Send a nomination letter - endorsing the nominee and outlining in detail the contribution they have made to community theatre, a photograph and the below application form to the MTNZ office with a supporting CV by 31 December. Email </w:t>
      </w:r>
      <w:hyperlink r:id="rId7">
        <w:r w:rsidDel="00000000" w:rsidR="00000000" w:rsidRPr="00000000">
          <w:rPr>
            <w:rFonts w:ascii="Nunito" w:cs="Nunito" w:eastAsia="Nunito" w:hAnsi="Nunito"/>
            <w:color w:val="1155cc"/>
            <w:u w:val="single"/>
            <w:rtl w:val="0"/>
          </w:rPr>
          <w:t xml:space="preserve">office@mtnz.co.nz</w:t>
        </w:r>
      </w:hyperlink>
      <w:r w:rsidDel="00000000" w:rsidR="00000000" w:rsidRPr="00000000">
        <w:rPr>
          <w:rFonts w:ascii="Nunito" w:cs="Nunito" w:eastAsia="Nunito" w:hAnsi="Nunito"/>
          <w:rtl w:val="0"/>
        </w:rPr>
        <w:t xml:space="preserve">; or post to 35 Glentui Lane, RD12 Whatawhata 3293.</w:t>
      </w:r>
    </w:p>
    <w:p w:rsidR="00000000" w:rsidDel="00000000" w:rsidP="00000000" w:rsidRDefault="00000000" w:rsidRPr="00000000" w14:paraId="0000000F">
      <w:pPr>
        <w:pageBreakBefore w:val="0"/>
        <w:spacing w:line="276" w:lineRule="auto"/>
        <w:jc w:val="both"/>
        <w:rPr>
          <w:rFonts w:ascii="Nunito" w:cs="Nunito" w:eastAsia="Nunito" w:hAnsi="Nunito"/>
        </w:rPr>
      </w:pPr>
      <w:r w:rsidDel="00000000" w:rsidR="00000000" w:rsidRPr="00000000">
        <w:rPr>
          <w:rFonts w:ascii="Nunito" w:cs="Nunito" w:eastAsia="Nunito" w:hAnsi="Nunito"/>
          <w:rtl w:val="0"/>
        </w:rPr>
        <w:t xml:space="preserve">This award will be presented annually at our awards evening during our national training and networking weekend by our patron Ian Reid. </w:t>
      </w:r>
    </w:p>
    <w:p w:rsidR="00000000" w:rsidDel="00000000" w:rsidP="00000000" w:rsidRDefault="00000000" w:rsidRPr="00000000" w14:paraId="00000010">
      <w:pPr>
        <w:pageBreakBefore w:val="0"/>
        <w:spacing w:line="276" w:lineRule="auto"/>
        <w:jc w:val="both"/>
        <w:rPr>
          <w:rFonts w:ascii="Nunito" w:cs="Nunito" w:eastAsia="Nunito" w:hAnsi="Nunito"/>
        </w:rPr>
      </w:pPr>
      <w:r w:rsidDel="00000000" w:rsidR="00000000" w:rsidRPr="00000000">
        <w:rPr>
          <w:rFonts w:ascii="Nunito" w:cs="Nunito" w:eastAsia="Nunito" w:hAnsi="Nunito"/>
          <w:rtl w:val="0"/>
        </w:rPr>
        <w:t xml:space="preserve">Nominees will be advised of their nomination and invited to attend conference; we encourage nominating societies to help their nominees attend conference as they will then be present to receive their prestigious award if successful. </w:t>
      </w:r>
    </w:p>
    <w:p w:rsidR="00000000" w:rsidDel="00000000" w:rsidP="00000000" w:rsidRDefault="00000000" w:rsidRPr="00000000" w14:paraId="00000011">
      <w:pPr>
        <w:pageBreakBefore w:val="0"/>
        <w:spacing w:line="36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2">
      <w:pPr>
        <w:pageBreakBefore w:val="0"/>
        <w:spacing w:line="36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3">
      <w:pPr>
        <w:pageBreakBefore w:val="0"/>
        <w:spacing w:line="36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4">
      <w:pPr>
        <w:pageBreakBefore w:val="0"/>
        <w:spacing w:line="36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5">
      <w:pPr>
        <w:pageBreakBefore w:val="0"/>
        <w:ind w:firstLine="720"/>
        <w:jc w:val="left"/>
        <w:rPr>
          <w:rFonts w:ascii="Nunito" w:cs="Nunito" w:eastAsia="Nunito" w:hAnsi="Nunito"/>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3209925</wp:posOffset>
            </wp:positionH>
            <wp:positionV relativeFrom="paragraph">
              <wp:posOffset>114300</wp:posOffset>
            </wp:positionV>
            <wp:extent cx="2667000" cy="147637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13000" l="0" r="0" t="9500"/>
                    <a:stretch>
                      <a:fillRect/>
                    </a:stretch>
                  </pic:blipFill>
                  <pic:spPr>
                    <a:xfrm>
                      <a:off x="0" y="0"/>
                      <a:ext cx="2667000" cy="1476375"/>
                    </a:xfrm>
                    <a:prstGeom prst="rect"/>
                    <a:ln/>
                  </pic:spPr>
                </pic:pic>
              </a:graphicData>
            </a:graphic>
          </wp:anchor>
        </w:drawing>
      </w:r>
    </w:p>
    <w:p w:rsidR="00000000" w:rsidDel="00000000" w:rsidP="00000000" w:rsidRDefault="00000000" w:rsidRPr="00000000" w14:paraId="00000016">
      <w:pPr>
        <w:pageBreakBefore w:val="0"/>
        <w:ind w:left="0" w:firstLine="0"/>
        <w:jc w:val="left"/>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17">
      <w:pPr>
        <w:pageBreakBefore w:val="0"/>
        <w:ind w:left="0" w:firstLine="720"/>
        <w:jc w:val="left"/>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Nomination for the 2024</w:t>
      </w:r>
    </w:p>
    <w:p w:rsidR="00000000" w:rsidDel="00000000" w:rsidP="00000000" w:rsidRDefault="00000000" w:rsidRPr="00000000" w14:paraId="00000018">
      <w:pPr>
        <w:pageBreakBefore w:val="0"/>
        <w:jc w:val="center"/>
        <w:rPr>
          <w:rFonts w:ascii="Pacifico" w:cs="Pacifico" w:eastAsia="Pacifico" w:hAnsi="Pacifico"/>
          <w:sz w:val="32"/>
          <w:szCs w:val="32"/>
        </w:rPr>
      </w:pPr>
      <w:r w:rsidDel="00000000" w:rsidR="00000000" w:rsidRPr="00000000">
        <w:rPr>
          <w:rFonts w:ascii="Pacifico" w:cs="Pacifico" w:eastAsia="Pacifico" w:hAnsi="Pacifico"/>
          <w:sz w:val="32"/>
          <w:szCs w:val="32"/>
          <w:rtl w:val="0"/>
        </w:rPr>
        <w:t xml:space="preserve">Nola Speir Patron’s </w:t>
      </w:r>
    </w:p>
    <w:p w:rsidR="00000000" w:rsidDel="00000000" w:rsidP="00000000" w:rsidRDefault="00000000" w:rsidRPr="00000000" w14:paraId="00000019">
      <w:pPr>
        <w:pageBreakBefore w:val="0"/>
        <w:jc w:val="center"/>
        <w:rPr>
          <w:rFonts w:ascii="Nunito" w:cs="Nunito" w:eastAsia="Nunito" w:hAnsi="Nunito"/>
          <w:b w:val="1"/>
          <w:i w:val="1"/>
          <w:sz w:val="32"/>
          <w:szCs w:val="32"/>
        </w:rPr>
      </w:pPr>
      <w:r w:rsidDel="00000000" w:rsidR="00000000" w:rsidRPr="00000000">
        <w:rPr>
          <w:rFonts w:ascii="Nunito" w:cs="Nunito" w:eastAsia="Nunito" w:hAnsi="Nunito"/>
          <w:b w:val="1"/>
          <w:i w:val="1"/>
          <w:sz w:val="32"/>
          <w:szCs w:val="32"/>
          <w:rtl w:val="0"/>
        </w:rPr>
        <w:t xml:space="preserve">NextGen Encouragement Award </w:t>
      </w:r>
    </w:p>
    <w:p w:rsidR="00000000" w:rsidDel="00000000" w:rsidP="00000000" w:rsidRDefault="00000000" w:rsidRPr="00000000" w14:paraId="0000001A">
      <w:pPr>
        <w:pageBreakBefore w:val="0"/>
        <w:jc w:val="center"/>
        <w:rPr>
          <w:rFonts w:ascii="Nunito" w:cs="Nunito" w:eastAsia="Nunito" w:hAnsi="Nunito"/>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jc w:val="center"/>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1C">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Name of Society:</w:t>
      </w:r>
    </w:p>
    <w:p w:rsidR="00000000" w:rsidDel="00000000" w:rsidP="00000000" w:rsidRDefault="00000000" w:rsidRPr="00000000" w14:paraId="0000001D">
      <w:pPr>
        <w:pageBreakBefore w:val="0"/>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1E">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Name of Nominee:</w:t>
      </w:r>
    </w:p>
    <w:p w:rsidR="00000000" w:rsidDel="00000000" w:rsidP="00000000" w:rsidRDefault="00000000" w:rsidRPr="00000000" w14:paraId="0000001F">
      <w:pPr>
        <w:pageBreakBefore w:val="0"/>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0">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Contact for Nominee: </w:t>
      </w:r>
    </w:p>
    <w:p w:rsidR="00000000" w:rsidDel="00000000" w:rsidP="00000000" w:rsidRDefault="00000000" w:rsidRPr="00000000" w14:paraId="00000021">
      <w:pPr>
        <w:pageBreakBefore w:val="0"/>
        <w:jc w:val="left"/>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2">
      <w:pPr>
        <w:pageBreakBefore w:val="0"/>
        <w:jc w:val="cente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3">
      <w:pPr>
        <w:pageBreakBefore w:val="0"/>
        <w:jc w:val="cente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4">
      <w:pPr>
        <w:pageBreakBefore w:val="0"/>
        <w:jc w:val="center"/>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Please list four bullet points for the award presentation, outlining what your society would like to highlight about this person and their achievements: </w:t>
      </w:r>
    </w:p>
    <w:p w:rsidR="00000000" w:rsidDel="00000000" w:rsidP="00000000" w:rsidRDefault="00000000" w:rsidRPr="00000000" w14:paraId="00000025">
      <w:pPr>
        <w:pageBreakBefore w:val="0"/>
        <w:jc w:val="center"/>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6">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1.</w:t>
      </w:r>
    </w:p>
    <w:p w:rsidR="00000000" w:rsidDel="00000000" w:rsidP="00000000" w:rsidRDefault="00000000" w:rsidRPr="00000000" w14:paraId="00000027">
      <w:pPr>
        <w:pageBreakBefore w:val="0"/>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8">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2.</w:t>
      </w:r>
    </w:p>
    <w:p w:rsidR="00000000" w:rsidDel="00000000" w:rsidP="00000000" w:rsidRDefault="00000000" w:rsidRPr="00000000" w14:paraId="00000029">
      <w:pPr>
        <w:pageBreakBefore w:val="0"/>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A">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3.</w:t>
      </w:r>
    </w:p>
    <w:p w:rsidR="00000000" w:rsidDel="00000000" w:rsidP="00000000" w:rsidRDefault="00000000" w:rsidRPr="00000000" w14:paraId="0000002B">
      <w:pPr>
        <w:pageBreakBefore w:val="0"/>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C">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4.</w:t>
      </w:r>
    </w:p>
    <w:p w:rsidR="00000000" w:rsidDel="00000000" w:rsidP="00000000" w:rsidRDefault="00000000" w:rsidRPr="00000000" w14:paraId="0000002D">
      <w:pPr>
        <w:pageBreakBefore w:val="0"/>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E">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Society contact person:</w:t>
      </w:r>
    </w:p>
    <w:p w:rsidR="00000000" w:rsidDel="00000000" w:rsidP="00000000" w:rsidRDefault="00000000" w:rsidRPr="00000000" w14:paraId="0000002F">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Name: </w:t>
      </w:r>
    </w:p>
    <w:p w:rsidR="00000000" w:rsidDel="00000000" w:rsidP="00000000" w:rsidRDefault="00000000" w:rsidRPr="00000000" w14:paraId="00000030">
      <w:pPr>
        <w:pageBreakBefore w:val="0"/>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Telephone:</w:t>
      </w:r>
    </w:p>
    <w:p w:rsidR="00000000" w:rsidDel="00000000" w:rsidP="00000000" w:rsidRDefault="00000000" w:rsidRPr="00000000" w14:paraId="00000031">
      <w:pPr>
        <w:pageBreakBefore w:val="0"/>
        <w:rPr>
          <w:rFonts w:ascii="Nunito" w:cs="Nunito" w:eastAsia="Nunito" w:hAnsi="Nunito"/>
          <w:b w:val="1"/>
          <w:sz w:val="32"/>
          <w:szCs w:val="32"/>
        </w:rPr>
      </w:pPr>
      <w:r w:rsidDel="00000000" w:rsidR="00000000" w:rsidRPr="00000000">
        <w:rPr>
          <w:rFonts w:ascii="Nunito" w:cs="Nunito" w:eastAsia="Nunito" w:hAnsi="Nunito"/>
          <w:b w:val="1"/>
          <w:sz w:val="26"/>
          <w:szCs w:val="26"/>
          <w:rtl w:val="0"/>
        </w:rPr>
        <w:t xml:space="preserve">Email:</w:t>
      </w: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office@mtnz.co.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